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4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0A62E5" w:rsidRPr="00BD311E" w:rsidTr="00BD311E">
        <w:trPr>
          <w:trHeight w:val="715"/>
          <w:jc w:val="center"/>
        </w:trPr>
        <w:tc>
          <w:tcPr>
            <w:tcW w:w="9694" w:type="dxa"/>
          </w:tcPr>
          <w:p w:rsidR="009D3BF0" w:rsidRPr="00BD311E" w:rsidRDefault="009D3BF0" w:rsidP="000A62E5">
            <w:pPr>
              <w:tabs>
                <w:tab w:val="left" w:pos="0"/>
              </w:tabs>
              <w:ind w:left="412"/>
            </w:pPr>
          </w:p>
          <w:p w:rsidR="000A62E5" w:rsidRPr="00BD311E" w:rsidRDefault="0085723B" w:rsidP="000A62E5">
            <w:pPr>
              <w:tabs>
                <w:tab w:val="left" w:pos="0"/>
              </w:tabs>
              <w:ind w:left="412"/>
            </w:pPr>
            <w:r w:rsidRPr="00BD311E">
              <w:t>Atribuțiile</w:t>
            </w:r>
            <w:r w:rsidR="000A62E5" w:rsidRPr="00BD311E">
              <w:t xml:space="preserve"> postului: </w:t>
            </w:r>
          </w:p>
          <w:p w:rsidR="0060143E" w:rsidRPr="00BD311E" w:rsidRDefault="0060143E" w:rsidP="0060143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realizează lucrările repartizate de conducerea </w:t>
            </w:r>
            <w:proofErr w:type="spellStart"/>
            <w:r w:rsidRPr="00BD311E">
              <w:t>Agenţiei</w:t>
            </w:r>
            <w:proofErr w:type="spellEnd"/>
            <w:r w:rsidRPr="00BD311E">
              <w:t xml:space="preserve"> privind schimbul de date şi de bune practici în scopul de a facilita urmărirea şi identificarea bunurilor rezultate din </w:t>
            </w:r>
            <w:proofErr w:type="spellStart"/>
            <w:r w:rsidRPr="00BD311E">
              <w:t>săvârşirea</w:t>
            </w:r>
            <w:proofErr w:type="spellEnd"/>
            <w:r w:rsidRPr="00BD311E">
              <w:t xml:space="preserve"> de </w:t>
            </w:r>
            <w:proofErr w:type="spellStart"/>
            <w:r w:rsidRPr="00BD311E">
              <w:t>infracţiuni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a altor bunuri având legătură cu </w:t>
            </w:r>
            <w:proofErr w:type="spellStart"/>
            <w:r w:rsidRPr="00BD311E">
              <w:t>infracţiunile</w:t>
            </w:r>
            <w:proofErr w:type="spellEnd"/>
            <w:r w:rsidRPr="00BD311E">
              <w:t xml:space="preserve"> care ar putea face obiectul unei </w:t>
            </w:r>
            <w:proofErr w:type="spellStart"/>
            <w:r w:rsidRPr="00BD311E">
              <w:t>dispoziţii</w:t>
            </w:r>
            <w:proofErr w:type="spellEnd"/>
            <w:r w:rsidRPr="00BD311E">
              <w:t xml:space="preserve"> de confiscare sau de indisponibilizare;</w:t>
            </w:r>
          </w:p>
          <w:p w:rsidR="0060143E" w:rsidRPr="00BD311E" w:rsidRDefault="0060143E" w:rsidP="00FC49C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analizează proiectele de acte normative sau alte asemenea lucrări trimise de </w:t>
            </w:r>
            <w:proofErr w:type="spellStart"/>
            <w:r w:rsidRPr="00BD311E">
              <w:t>direcţiile</w:t>
            </w:r>
            <w:proofErr w:type="spellEnd"/>
            <w:r w:rsidRPr="00BD311E">
              <w:t xml:space="preserve"> de specialitate ale Ministerului </w:t>
            </w:r>
            <w:proofErr w:type="spellStart"/>
            <w:r w:rsidRPr="00BD311E">
              <w:t>Justiţiei</w:t>
            </w:r>
            <w:proofErr w:type="spellEnd"/>
            <w:r w:rsidRPr="00BD311E">
              <w:t xml:space="preserve"> în domeniul recuperării </w:t>
            </w:r>
            <w:proofErr w:type="spellStart"/>
            <w:r w:rsidRPr="00BD311E">
              <w:t>creanţelor</w:t>
            </w:r>
            <w:proofErr w:type="spellEnd"/>
            <w:r w:rsidRPr="00BD311E">
              <w:t>;</w:t>
            </w:r>
          </w:p>
          <w:p w:rsidR="0060143E" w:rsidRPr="00BD311E" w:rsidRDefault="0060143E" w:rsidP="00E31A7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participă la lucrările unor comisii, comitete, grupuri de lucru, </w:t>
            </w:r>
            <w:proofErr w:type="spellStart"/>
            <w:r w:rsidRPr="00BD311E">
              <w:t>seminarii</w:t>
            </w:r>
            <w:proofErr w:type="spellEnd"/>
            <w:r w:rsidRPr="00BD311E">
              <w:t xml:space="preserve">, mese rotunde, sau alte asemenea, cursuri de pregătire, cursuri de </w:t>
            </w:r>
            <w:proofErr w:type="spellStart"/>
            <w:r w:rsidRPr="00BD311E">
              <w:t>perfecţionare</w:t>
            </w:r>
            <w:proofErr w:type="spellEnd"/>
            <w:r w:rsidRPr="00BD311E">
              <w:t xml:space="preserve">, etc., potrivit repartizării conducerii </w:t>
            </w:r>
            <w:proofErr w:type="spellStart"/>
            <w:r w:rsidRPr="00BD311E">
              <w:t>Agenţiei</w:t>
            </w:r>
            <w:proofErr w:type="spellEnd"/>
            <w:r w:rsidRPr="00BD311E">
              <w:t>;</w:t>
            </w:r>
          </w:p>
          <w:p w:rsidR="0060143E" w:rsidRPr="00BD311E" w:rsidRDefault="0060143E" w:rsidP="006115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participă la </w:t>
            </w:r>
            <w:proofErr w:type="spellStart"/>
            <w:r w:rsidRPr="00BD311E">
              <w:t>iniţierea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dezvoltarea unor programe în colaborare cu </w:t>
            </w:r>
            <w:proofErr w:type="spellStart"/>
            <w:r w:rsidRPr="00BD311E">
              <w:t>organizaţii</w:t>
            </w:r>
            <w:proofErr w:type="spellEnd"/>
            <w:r w:rsidRPr="00BD311E">
              <w:t xml:space="preserve"> guvernamentale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neguvernamentale;</w:t>
            </w:r>
          </w:p>
          <w:p w:rsidR="0060143E" w:rsidRPr="00BD311E" w:rsidRDefault="0060143E" w:rsidP="002569E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proofErr w:type="spellStart"/>
            <w:r w:rsidRPr="00BD311E">
              <w:t>soluţionează</w:t>
            </w:r>
            <w:proofErr w:type="spellEnd"/>
            <w:r w:rsidRPr="00BD311E">
              <w:t xml:space="preserve"> memoriile sau alte </w:t>
            </w:r>
            <w:proofErr w:type="spellStart"/>
            <w:r w:rsidRPr="00BD311E">
              <w:t>petiţii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efectuează comunicările către </w:t>
            </w:r>
            <w:proofErr w:type="spellStart"/>
            <w:r w:rsidRPr="00BD311E">
              <w:t>petenţi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instituţiile</w:t>
            </w:r>
            <w:proofErr w:type="spellEnd"/>
            <w:r w:rsidRPr="00BD311E">
              <w:t xml:space="preserve"> competente;  </w:t>
            </w:r>
          </w:p>
          <w:p w:rsidR="0060143E" w:rsidRPr="00BD311E" w:rsidRDefault="0060143E" w:rsidP="0040782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asigură implementarea, </w:t>
            </w:r>
            <w:proofErr w:type="spellStart"/>
            <w:r w:rsidRPr="00BD311E">
              <w:t>menţinerea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îmbunătăţirea</w:t>
            </w:r>
            <w:proofErr w:type="spellEnd"/>
            <w:r w:rsidRPr="00BD311E">
              <w:t xml:space="preserve"> sistemului de management al </w:t>
            </w:r>
            <w:proofErr w:type="spellStart"/>
            <w:r w:rsidRPr="00BD311E">
              <w:t>calităţii</w:t>
            </w:r>
            <w:proofErr w:type="spellEnd"/>
            <w:r w:rsidRPr="00BD311E">
              <w:t xml:space="preserve"> în propria activitate;</w:t>
            </w:r>
          </w:p>
          <w:p w:rsidR="0060143E" w:rsidRPr="00BD311E" w:rsidRDefault="0060143E" w:rsidP="008F1E3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dezvoltă şi implementează proiecte cu </w:t>
            </w:r>
            <w:proofErr w:type="spellStart"/>
            <w:r w:rsidRPr="00BD311E">
              <w:t>finanţare</w:t>
            </w:r>
            <w:proofErr w:type="spellEnd"/>
            <w:r w:rsidRPr="00BD311E">
              <w:t xml:space="preserve"> europeană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internaţională</w:t>
            </w:r>
            <w:proofErr w:type="spellEnd"/>
            <w:r w:rsidRPr="00BD311E">
              <w:t xml:space="preserve">; </w:t>
            </w:r>
          </w:p>
          <w:p w:rsidR="0060143E" w:rsidRPr="00BD311E" w:rsidRDefault="0060143E" w:rsidP="00733A7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acordă </w:t>
            </w:r>
            <w:proofErr w:type="spellStart"/>
            <w:r w:rsidRPr="00BD311E">
              <w:t>asistenţa</w:t>
            </w:r>
            <w:proofErr w:type="spellEnd"/>
            <w:r w:rsidRPr="00BD311E">
              <w:t xml:space="preserve"> solicitată </w:t>
            </w:r>
            <w:proofErr w:type="spellStart"/>
            <w:r w:rsidRPr="00BD311E">
              <w:t>Agenţiei</w:t>
            </w:r>
            <w:proofErr w:type="spellEnd"/>
            <w:r w:rsidRPr="00BD311E">
              <w:t xml:space="preserve"> de către organele de urmărire penală sau </w:t>
            </w:r>
            <w:proofErr w:type="spellStart"/>
            <w:r w:rsidRPr="00BD311E">
              <w:t>instanţele</w:t>
            </w:r>
            <w:proofErr w:type="spellEnd"/>
            <w:r w:rsidRPr="00BD311E">
              <w:t xml:space="preserve"> de judecată privind utilizarea celor mai bune practici în materia identificării bunurilor care pot face obiectul măsurilor de indisponibilizare şi confiscare; </w:t>
            </w:r>
          </w:p>
          <w:p w:rsidR="0060143E" w:rsidRPr="00BD311E" w:rsidRDefault="0060143E" w:rsidP="0016163D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744"/>
            </w:pPr>
            <w:r w:rsidRPr="00BD311E">
              <w:t xml:space="preserve">analizează anual activitatea proprie şi propune conducerii măsuri pentru </w:t>
            </w:r>
            <w:proofErr w:type="spellStart"/>
            <w:r w:rsidRPr="00BD311E">
              <w:t>îmbunătăţirea</w:t>
            </w:r>
            <w:proofErr w:type="spellEnd"/>
            <w:r w:rsidRPr="00BD311E">
              <w:t xml:space="preserve"> acesteia; </w:t>
            </w:r>
          </w:p>
          <w:p w:rsidR="009D4DCE" w:rsidRPr="00BD311E" w:rsidRDefault="0060143E" w:rsidP="009D4DC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</w:pPr>
            <w:r w:rsidRPr="00BD311E">
              <w:t xml:space="preserve">respectă normele de </w:t>
            </w:r>
            <w:proofErr w:type="spellStart"/>
            <w:r w:rsidRPr="00BD311E">
              <w:t>protecţia</w:t>
            </w:r>
            <w:proofErr w:type="spellEnd"/>
            <w:r w:rsidRPr="00BD311E">
              <w:t xml:space="preserve"> muncii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normele PSI;</w:t>
            </w:r>
            <w:r w:rsidR="009D4DCE" w:rsidRPr="00BD311E">
              <w:t xml:space="preserve"> 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</w:pPr>
            <w:r w:rsidRPr="00BD311E">
              <w:t xml:space="preserve">exercită alte </w:t>
            </w:r>
            <w:proofErr w:type="spellStart"/>
            <w:r w:rsidRPr="00BD311E">
              <w:t>atribuţii</w:t>
            </w:r>
            <w:proofErr w:type="spellEnd"/>
            <w:r w:rsidRPr="00BD311E">
              <w:t xml:space="preserve"> legate de specificul lor de activitate, primite de la superiorii ierarhici, în </w:t>
            </w:r>
            <w:proofErr w:type="spellStart"/>
            <w:r w:rsidRPr="00BD311E">
              <w:t>condiţiile</w:t>
            </w:r>
            <w:proofErr w:type="spellEnd"/>
            <w:r w:rsidRPr="00BD311E">
              <w:t xml:space="preserve"> legii; 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</w:pPr>
            <w:r w:rsidRPr="00BD311E">
              <w:t xml:space="preserve">informează directorul general adjunct / directorul general asupra principalelor probleme, precum şi cu privire la rezultatele obținute la nivelul compartimentului; </w:t>
            </w:r>
          </w:p>
          <w:p w:rsidR="009D4DCE" w:rsidRPr="00BD311E" w:rsidRDefault="009D4DCE" w:rsidP="009D3BF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</w:pPr>
            <w:r w:rsidRPr="00BD311E">
              <w:t xml:space="preserve">răspunde de îndeplinirea măsurilor necesare întocmirii şi realizării în termen a 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r w:rsidRPr="00BD311E">
              <w:t xml:space="preserve">asigură realizarea la timp şi de calitate a tuturor sarcinilor stabilite de conducerea Agenției; 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r w:rsidRPr="00BD311E">
              <w:t xml:space="preserve">realizează toate documentele specifice implementării sistemului de control intern managerial conform OSGG 600/2018 la nivelul compartimentului; 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r w:rsidRPr="00BD311E">
              <w:t xml:space="preserve">efectuează toate </w:t>
            </w:r>
            <w:proofErr w:type="spellStart"/>
            <w:r w:rsidRPr="00BD311E">
              <w:t>plăţile</w:t>
            </w:r>
            <w:proofErr w:type="spellEnd"/>
            <w:r w:rsidRPr="00BD311E">
              <w:t xml:space="preserve">, în numerar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virament, din creditele bugetare deschise, în limita şi pe structura bugetului aprobat, pe surse de </w:t>
            </w:r>
            <w:proofErr w:type="spellStart"/>
            <w:r w:rsidRPr="00BD311E">
              <w:t>finanţare</w:t>
            </w:r>
            <w:proofErr w:type="spellEnd"/>
            <w:r w:rsidRPr="00BD311E">
              <w:t xml:space="preserve">, după ce au fost angajate, lichidate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</w:t>
            </w:r>
            <w:proofErr w:type="spellStart"/>
            <w:r w:rsidRPr="00BD311E">
              <w:t>ordonanţate</w:t>
            </w:r>
            <w:proofErr w:type="spellEnd"/>
            <w:r w:rsidRPr="00BD311E">
              <w:t xml:space="preserve"> de ordonatorul de credite, în termenele prevăzute de </w:t>
            </w:r>
            <w:proofErr w:type="spellStart"/>
            <w:r w:rsidRPr="00BD311E">
              <w:t>legislaţia</w:t>
            </w:r>
            <w:proofErr w:type="spellEnd"/>
            <w:r w:rsidRPr="00BD311E">
              <w:t xml:space="preserve"> în vigoare;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r w:rsidRPr="00BD311E">
              <w:t xml:space="preserve">exercită temporar atribuțiile în domeniul </w:t>
            </w:r>
            <w:proofErr w:type="spellStart"/>
            <w:r w:rsidRPr="00BD311E">
              <w:t>contabilitatii</w:t>
            </w:r>
            <w:proofErr w:type="spellEnd"/>
            <w:r w:rsidRPr="00BD311E">
              <w:t>, sprijinind personalul din cadrul Serviciului suport operațional în această activitate;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BD311E">
              <w:t>întocmeşte</w:t>
            </w:r>
            <w:proofErr w:type="spellEnd"/>
            <w:r w:rsidRPr="00BD311E">
              <w:t xml:space="preserve"> centralizatorul persoanelor care beneficiază de compensarea contravalorii chiriei, în vederea </w:t>
            </w:r>
            <w:proofErr w:type="spellStart"/>
            <w:r w:rsidRPr="00BD311E">
              <w:t>plăţii</w:t>
            </w:r>
            <w:proofErr w:type="spellEnd"/>
            <w:r w:rsidRPr="00BD311E">
              <w:t xml:space="preserve"> prin virament a acestor drepturi;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BD311E">
              <w:lastRenderedPageBreak/>
              <w:t>întocmeşte</w:t>
            </w:r>
            <w:proofErr w:type="spellEnd"/>
            <w:r w:rsidRPr="00BD311E">
              <w:t xml:space="preserve"> dosarul de chirie pentru fiecare beneficiar de drept </w:t>
            </w:r>
            <w:proofErr w:type="spellStart"/>
            <w:r w:rsidRPr="00BD311E">
              <w:t>şi</w:t>
            </w:r>
            <w:proofErr w:type="spellEnd"/>
            <w:r w:rsidRPr="00BD311E">
              <w:t xml:space="preserve"> actualizează </w:t>
            </w:r>
            <w:proofErr w:type="spellStart"/>
            <w:r w:rsidRPr="00BD311E">
              <w:t>fişa</w:t>
            </w:r>
            <w:proofErr w:type="spellEnd"/>
            <w:r w:rsidRPr="00BD311E">
              <w:t xml:space="preserve"> de calcul al chiriei pentru </w:t>
            </w:r>
            <w:proofErr w:type="spellStart"/>
            <w:r w:rsidRPr="00BD311E">
              <w:t>locuinţa</w:t>
            </w:r>
            <w:proofErr w:type="spellEnd"/>
            <w:r w:rsidRPr="00BD311E">
              <w:t xml:space="preserve"> de serviciu, pe categorii de </w:t>
            </w:r>
            <w:proofErr w:type="spellStart"/>
            <w:r w:rsidRPr="00BD311E">
              <w:t>suprafeţe</w:t>
            </w:r>
            <w:proofErr w:type="spellEnd"/>
            <w:r w:rsidRPr="00BD311E">
              <w:t xml:space="preserve"> închiriate, conform actului normativ mai sus invocat;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BD311E">
              <w:t>îndeplineşte</w:t>
            </w:r>
            <w:proofErr w:type="spellEnd"/>
            <w:r w:rsidRPr="00BD311E">
              <w:t xml:space="preserve"> orice alte </w:t>
            </w:r>
            <w:proofErr w:type="spellStart"/>
            <w:r w:rsidRPr="00BD311E">
              <w:t>atribuţii</w:t>
            </w:r>
            <w:proofErr w:type="spellEnd"/>
            <w:r w:rsidRPr="00BD311E">
              <w:t xml:space="preserve"> legate de specificul său de activitate, stabilite de conducerea </w:t>
            </w:r>
            <w:proofErr w:type="spellStart"/>
            <w:r w:rsidRPr="00BD311E">
              <w:t>Agenţiei</w:t>
            </w:r>
            <w:proofErr w:type="spellEnd"/>
            <w:r w:rsidRPr="00BD311E">
              <w:t>.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r w:rsidRPr="00BD311E">
              <w:t xml:space="preserve">manifestă fermitate în aplicarea legilor şi solicitudine fată de autoritățile şi instituțiile publice cu care colaborează ori care cer sprijin în rezolvarea unor probleme din domeniile de activitate ale Agenției; 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r w:rsidRPr="00BD311E">
              <w:t>nu divulgă datele sau informațiile la care a avut acces decât în condițiile legii;</w:t>
            </w:r>
          </w:p>
          <w:p w:rsidR="009D4DCE" w:rsidRPr="00BD311E" w:rsidRDefault="009D4DCE" w:rsidP="009D4DCE">
            <w:pPr>
              <w:pStyle w:val="ListParagraph"/>
              <w:numPr>
                <w:ilvl w:val="0"/>
                <w:numId w:val="14"/>
              </w:numPr>
            </w:pPr>
            <w:r w:rsidRPr="00BD311E">
              <w:t xml:space="preserve"> îndeplinește orice alte atribuții stabilite prin decizie de către directorul general.</w:t>
            </w:r>
          </w:p>
          <w:p w:rsidR="001748BB" w:rsidRPr="00BD311E" w:rsidRDefault="001748BB" w:rsidP="001748BB">
            <w:pPr>
              <w:spacing w:after="0" w:line="240" w:lineRule="auto"/>
            </w:pPr>
          </w:p>
          <w:p w:rsidR="001748BB" w:rsidRPr="00BD311E" w:rsidRDefault="001748BB" w:rsidP="001748BB">
            <w:pPr>
              <w:spacing w:after="0" w:line="240" w:lineRule="auto"/>
              <w:ind w:left="454"/>
            </w:pPr>
            <w:r w:rsidRPr="00BD311E">
              <w:t>Atribuții specifice referitoare la GDPR în calitate de salariat care are acces la date cu caracter personal:</w:t>
            </w:r>
          </w:p>
          <w:p w:rsidR="001748BB" w:rsidRPr="00BD311E" w:rsidRDefault="001748BB" w:rsidP="001748BB">
            <w:pPr>
              <w:spacing w:after="0" w:line="240" w:lineRule="auto"/>
              <w:ind w:left="0"/>
            </w:pPr>
            <w:r w:rsidRPr="00BD311E">
              <w:t> </w:t>
            </w:r>
          </w:p>
          <w:p w:rsidR="001748BB" w:rsidRPr="00BD311E" w:rsidRDefault="0085723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t>Să respecte cu strictețe legislația</w:t>
            </w:r>
            <w:r w:rsidRPr="00BD311E">
              <w:rPr>
                <w:color w:val="FF0000"/>
              </w:rPr>
              <w:t xml:space="preserve"> </w:t>
            </w:r>
            <w:r w:rsidRPr="00BD311E">
              <w:t>și procedurile interne referitoare la protecția datelor cu caracter personal, precum și procedurile privind securitatea informatică;</w:t>
            </w:r>
          </w:p>
          <w:p w:rsidR="0085723B" w:rsidRPr="00BD311E" w:rsidRDefault="0085723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rPr>
                <w:bCs/>
              </w:rPr>
              <w:t>sa păstreze</w:t>
            </w:r>
            <w:r w:rsidRPr="00BD311E">
              <w:t xml:space="preserve"> in condiții de strictețe parolele si mijloacele tehnice de acces la datele cu caracter personal pe care le prelucrează in virtutea atribuțiilor sale de serviciu;</w:t>
            </w:r>
          </w:p>
          <w:p w:rsidR="001748BB" w:rsidRPr="00BD311E" w:rsidRDefault="001748B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rPr>
                <w:bCs/>
              </w:rPr>
              <w:t xml:space="preserve">sa </w:t>
            </w:r>
            <w:r w:rsidR="0085723B" w:rsidRPr="00BD311E">
              <w:rPr>
                <w:bCs/>
              </w:rPr>
              <w:t>interzică</w:t>
            </w:r>
            <w:r w:rsidRPr="00BD311E">
              <w:t xml:space="preserve"> in mod efectiv si sa </w:t>
            </w:r>
            <w:r w:rsidR="0085723B" w:rsidRPr="00BD311E">
              <w:t>împiedice</w:t>
            </w:r>
            <w:r w:rsidRPr="00BD311E">
              <w:t xml:space="preserve"> accesul </w:t>
            </w:r>
            <w:r w:rsidR="0085723B" w:rsidRPr="00BD311E">
              <w:t>oricărui</w:t>
            </w:r>
            <w:r w:rsidRPr="00BD311E">
              <w:t xml:space="preserve"> alt salariat la canalele de accesare a datelor personale disponibile pe computerul </w:t>
            </w:r>
            <w:r w:rsidR="00AD1138" w:rsidRPr="00BD311E">
              <w:t>instituției</w:t>
            </w:r>
            <w:r w:rsidRPr="00BD311E">
              <w:t xml:space="preserve"> cu ajutorul </w:t>
            </w:r>
            <w:r w:rsidR="0085723B" w:rsidRPr="00BD311E">
              <w:t>căruia</w:t>
            </w:r>
            <w:r w:rsidRPr="00BD311E">
              <w:t xml:space="preserve"> </w:t>
            </w:r>
            <w:r w:rsidR="0085723B" w:rsidRPr="00BD311E">
              <w:t>își</w:t>
            </w:r>
            <w:r w:rsidRPr="00BD311E">
              <w:t xml:space="preserve"> </w:t>
            </w:r>
            <w:r w:rsidR="0085723B" w:rsidRPr="00BD311E">
              <w:t>desfășoară</w:t>
            </w:r>
            <w:r w:rsidRPr="00BD311E">
              <w:t xml:space="preserve"> activitatea;</w:t>
            </w:r>
          </w:p>
          <w:p w:rsidR="001748BB" w:rsidRPr="00BD311E" w:rsidRDefault="001748B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rPr>
                <w:bCs/>
              </w:rPr>
              <w:t>sa manipuleze</w:t>
            </w:r>
            <w:r w:rsidRPr="00BD311E">
              <w:t xml:space="preserve"> datele cu caracter personal stocate pe suport fizic la care are acces cu cea mai mare </w:t>
            </w:r>
            <w:r w:rsidR="0085723B" w:rsidRPr="00BD311E">
              <w:t>precauție</w:t>
            </w:r>
            <w:r w:rsidRPr="00BD311E">
              <w:t xml:space="preserve">, </w:t>
            </w:r>
            <w:r w:rsidR="0085723B" w:rsidRPr="00BD311E">
              <w:t>atât</w:t>
            </w:r>
            <w:r w:rsidRPr="00BD311E">
              <w:t xml:space="preserve"> in ce </w:t>
            </w:r>
            <w:r w:rsidR="0085723B" w:rsidRPr="00BD311E">
              <w:t>privește</w:t>
            </w:r>
            <w:r w:rsidRPr="00BD311E">
              <w:t xml:space="preserve"> conservarea suporturilor, cat si in ce </w:t>
            </w:r>
            <w:r w:rsidR="0085723B" w:rsidRPr="00BD311E">
              <w:t>privește</w:t>
            </w:r>
            <w:r w:rsidRPr="00BD311E">
              <w:t xml:space="preserve"> depunerea lor in locurile si in </w:t>
            </w:r>
            <w:r w:rsidR="0085723B" w:rsidRPr="00BD311E">
              <w:t>condițiile</w:t>
            </w:r>
            <w:r w:rsidRPr="00BD311E">
              <w:t xml:space="preserve"> stabilite in procedurile de lucru;</w:t>
            </w:r>
          </w:p>
          <w:p w:rsidR="001748BB" w:rsidRPr="00BD311E" w:rsidRDefault="001748B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rPr>
                <w:bCs/>
              </w:rPr>
              <w:t>sa nu divulge</w:t>
            </w:r>
            <w:r w:rsidRPr="00BD311E">
              <w:t xml:space="preserve"> </w:t>
            </w:r>
            <w:r w:rsidR="0085723B" w:rsidRPr="00BD311E">
              <w:t>nimănui</w:t>
            </w:r>
            <w:r w:rsidRPr="00BD311E">
              <w:t xml:space="preserve"> si sa nu </w:t>
            </w:r>
            <w:r w:rsidR="0085723B" w:rsidRPr="00BD311E">
              <w:t>permită</w:t>
            </w:r>
            <w:r w:rsidRPr="00BD311E">
              <w:t xml:space="preserve"> </w:t>
            </w:r>
            <w:r w:rsidR="0085723B" w:rsidRPr="00BD311E">
              <w:t>nimănui</w:t>
            </w:r>
            <w:r w:rsidRPr="00BD311E">
              <w:t xml:space="preserve"> sa ia </w:t>
            </w:r>
            <w:r w:rsidR="0085723B" w:rsidRPr="00BD311E">
              <w:t>cunoștința</w:t>
            </w:r>
            <w:r w:rsidRPr="00BD311E">
              <w:t xml:space="preserve"> de parolele si mijloacele tehnice de acces in sistemele informatice pe care le </w:t>
            </w:r>
            <w:r w:rsidR="0085723B" w:rsidRPr="00BD311E">
              <w:t>utilizează</w:t>
            </w:r>
            <w:r w:rsidRPr="00BD311E">
              <w:t xml:space="preserve"> in </w:t>
            </w:r>
            <w:r w:rsidR="0085723B" w:rsidRPr="00BD311E">
              <w:t>desfășurarea</w:t>
            </w:r>
            <w:r w:rsidRPr="00BD311E">
              <w:t xml:space="preserve"> </w:t>
            </w:r>
            <w:r w:rsidR="0085723B" w:rsidRPr="00BD311E">
              <w:t>atribuțiilor</w:t>
            </w:r>
            <w:r w:rsidRPr="00BD311E">
              <w:t xml:space="preserve"> de serviciu;</w:t>
            </w:r>
          </w:p>
          <w:p w:rsidR="001748BB" w:rsidRPr="00BD311E" w:rsidRDefault="001748B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rPr>
                <w:bCs/>
              </w:rPr>
              <w:t>sa nu divulge</w:t>
            </w:r>
            <w:r w:rsidRPr="00BD311E">
              <w:t xml:space="preserve"> </w:t>
            </w:r>
            <w:r w:rsidR="0085723B" w:rsidRPr="00BD311E">
              <w:t>nimănui</w:t>
            </w:r>
            <w:r w:rsidRPr="00BD311E">
              <w:t xml:space="preserve"> datele cu caracter personal la care are acces, </w:t>
            </w:r>
            <w:r w:rsidR="0085723B" w:rsidRPr="00BD311E">
              <w:t>atât</w:t>
            </w:r>
            <w:r w:rsidRPr="00BD311E">
              <w:t xml:space="preserve"> in mod nemijlocit cat si, eventual, in mod mediat, cu </w:t>
            </w:r>
            <w:r w:rsidR="0085723B" w:rsidRPr="00BD311E">
              <w:t>excepția</w:t>
            </w:r>
            <w:r w:rsidRPr="00BD311E">
              <w:t xml:space="preserve"> </w:t>
            </w:r>
            <w:r w:rsidR="0085723B" w:rsidRPr="00BD311E">
              <w:t>situațiilor</w:t>
            </w:r>
            <w:r w:rsidRPr="00BD311E">
              <w:t xml:space="preserve"> in care comunicarea datelor cu caracter personal se </w:t>
            </w:r>
            <w:r w:rsidR="0085723B" w:rsidRPr="00BD311E">
              <w:t>regăsește</w:t>
            </w:r>
            <w:r w:rsidRPr="00BD311E">
              <w:t xml:space="preserve"> in </w:t>
            </w:r>
            <w:r w:rsidR="0085723B" w:rsidRPr="00BD311E">
              <w:t>atribuțiile</w:t>
            </w:r>
            <w:r w:rsidRPr="00BD311E">
              <w:t xml:space="preserve"> sale de serviciu sau a fost autorizata de </w:t>
            </w:r>
            <w:r w:rsidR="0085723B" w:rsidRPr="00BD311E">
              <w:t>către</w:t>
            </w:r>
            <w:r w:rsidRPr="00BD311E">
              <w:t xml:space="preserve"> superiorul sau ierarhic;</w:t>
            </w:r>
          </w:p>
          <w:p w:rsidR="001748BB" w:rsidRPr="00BD311E" w:rsidRDefault="001748B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rPr>
                <w:bCs/>
              </w:rPr>
              <w:t>sa nu copieze</w:t>
            </w:r>
            <w:r w:rsidRPr="00BD311E">
              <w:t xml:space="preserve"> pe suport fizic niciun fel de date cu caracter personal disponibile in sistemele informatice ale </w:t>
            </w:r>
            <w:r w:rsidR="00AD1138" w:rsidRPr="00BD311E">
              <w:t>instituției</w:t>
            </w:r>
            <w:r w:rsidRPr="00BD311E">
              <w:t xml:space="preserve">, cu </w:t>
            </w:r>
            <w:r w:rsidR="0085723B" w:rsidRPr="00BD311E">
              <w:t>excepția</w:t>
            </w:r>
            <w:r w:rsidRPr="00BD311E">
              <w:t xml:space="preserve"> </w:t>
            </w:r>
            <w:r w:rsidR="0085723B" w:rsidRPr="00BD311E">
              <w:t>situațiilor</w:t>
            </w:r>
            <w:r w:rsidRPr="00BD311E">
              <w:t xml:space="preserve"> in care aceasta activitate se </w:t>
            </w:r>
            <w:r w:rsidR="0085723B" w:rsidRPr="00BD311E">
              <w:t>regăsește</w:t>
            </w:r>
            <w:r w:rsidRPr="00BD311E">
              <w:t xml:space="preserve"> in </w:t>
            </w:r>
            <w:r w:rsidR="0085723B" w:rsidRPr="00BD311E">
              <w:t>atribuțiile</w:t>
            </w:r>
            <w:r w:rsidRPr="00BD311E">
              <w:t xml:space="preserve"> sale de serviciu sau a fost autorizata de </w:t>
            </w:r>
            <w:r w:rsidR="0085723B" w:rsidRPr="00BD311E">
              <w:t>către</w:t>
            </w:r>
            <w:r w:rsidRPr="00BD311E">
              <w:t xml:space="preserve"> superiorul sau ierarhic;</w:t>
            </w:r>
          </w:p>
          <w:p w:rsidR="001748BB" w:rsidRPr="00BD311E" w:rsidRDefault="001748BB" w:rsidP="00AD1DE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880" w:hanging="426"/>
            </w:pPr>
            <w:r w:rsidRPr="00BD311E">
              <w:rPr>
                <w:bCs/>
              </w:rPr>
              <w:t xml:space="preserve">sa nu </w:t>
            </w:r>
            <w:r w:rsidR="0085723B" w:rsidRPr="00BD311E">
              <w:rPr>
                <w:bCs/>
              </w:rPr>
              <w:t>transmită</w:t>
            </w:r>
            <w:r w:rsidRPr="00BD311E">
              <w:t xml:space="preserve"> pe suport informatic si nici pe un altfel de suport date cu caracter personal </w:t>
            </w:r>
            <w:r w:rsidR="0085723B" w:rsidRPr="00BD311E">
              <w:t>către</w:t>
            </w:r>
            <w:r w:rsidRPr="00BD311E">
              <w:t xml:space="preserve"> sisteme informatice care nu se afla sub controlul </w:t>
            </w:r>
            <w:r w:rsidR="00AD1138" w:rsidRPr="00BD311E">
              <w:t>instituției</w:t>
            </w:r>
            <w:r w:rsidRPr="00BD311E">
              <w:t xml:space="preserve"> sau care sunt accesibile in afara </w:t>
            </w:r>
            <w:r w:rsidR="00AD1138" w:rsidRPr="00BD311E">
              <w:t>instituției</w:t>
            </w:r>
            <w:r w:rsidRPr="00BD311E">
              <w:t xml:space="preserve">, inclusiv stick-uri USB, HDD, discuri rigide, </w:t>
            </w:r>
            <w:r w:rsidR="0085723B" w:rsidRPr="00BD311E">
              <w:t>căsuțe</w:t>
            </w:r>
            <w:r w:rsidRPr="00BD311E">
              <w:t xml:space="preserve"> de e-mail, foldere accesibile via FTP sau orice alt mijloc tehnic.</w:t>
            </w:r>
          </w:p>
          <w:p w:rsidR="001748BB" w:rsidRPr="00BD311E" w:rsidRDefault="001748BB" w:rsidP="001748BB">
            <w:pPr>
              <w:spacing w:after="0" w:line="240" w:lineRule="auto"/>
              <w:ind w:left="0"/>
            </w:pPr>
          </w:p>
          <w:p w:rsidR="006A61EF" w:rsidRPr="00BD311E" w:rsidRDefault="006A61EF" w:rsidP="00BD311E">
            <w:pPr>
              <w:spacing w:after="0" w:line="240" w:lineRule="auto"/>
              <w:ind w:left="0"/>
            </w:pPr>
          </w:p>
        </w:tc>
      </w:tr>
    </w:tbl>
    <w:p w:rsidR="000A62E5" w:rsidRPr="0085723B" w:rsidRDefault="000A62E5" w:rsidP="00BD311E">
      <w:pPr>
        <w:ind w:left="0"/>
        <w:rPr>
          <w:vertAlign w:val="superscript"/>
        </w:rPr>
      </w:pPr>
      <w:bookmarkStart w:id="0" w:name="_GoBack"/>
      <w:bookmarkEnd w:id="0"/>
    </w:p>
    <w:sectPr w:rsidR="000A62E5" w:rsidRPr="0085723B" w:rsidSect="004B4CD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1260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7B" w:rsidRDefault="0016207B" w:rsidP="00CD5B3B">
      <w:r>
        <w:separator/>
      </w:r>
    </w:p>
  </w:endnote>
  <w:endnote w:type="continuationSeparator" w:id="0">
    <w:p w:rsidR="0016207B" w:rsidRDefault="0016207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251"/>
      <w:gridCol w:w="3799"/>
    </w:tblGrid>
    <w:tr w:rsidR="00967687" w:rsidTr="00A64AF3">
      <w:trPr>
        <w:trHeight w:val="893"/>
      </w:trPr>
      <w:tc>
        <w:tcPr>
          <w:tcW w:w="5778" w:type="dxa"/>
          <w:vAlign w:val="center"/>
        </w:tcPr>
        <w:p w:rsidR="00B05007" w:rsidRPr="00036C68" w:rsidRDefault="00B05007" w:rsidP="00B05007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36C68">
            <w:rPr>
              <w:sz w:val="20"/>
              <w:szCs w:val="20"/>
              <w:vertAlign w:val="subscript"/>
            </w:rPr>
            <w:t>Bd. Regina Elisabeta nr. 3, etajele 3 și 5, sector 3, București.</w:t>
          </w:r>
          <w:r w:rsidRPr="00036C68">
            <w:rPr>
              <w:sz w:val="20"/>
              <w:szCs w:val="20"/>
              <w:vertAlign w:val="subscript"/>
            </w:rPr>
            <w:tab/>
          </w:r>
          <w:r w:rsidRPr="00036C68">
            <w:rPr>
              <w:sz w:val="20"/>
              <w:szCs w:val="20"/>
              <w:vertAlign w:val="subscript"/>
            </w:rPr>
            <w:tab/>
          </w:r>
        </w:p>
        <w:p w:rsidR="00B05007" w:rsidRPr="00036C68" w:rsidRDefault="00B05007" w:rsidP="00B05007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36C68">
            <w:rPr>
              <w:sz w:val="20"/>
              <w:szCs w:val="20"/>
              <w:vertAlign w:val="subscript"/>
            </w:rPr>
            <w:t xml:space="preserve">Tel. +4 037 257 30 00; Fax  +4 037 227 14 35; </w:t>
          </w:r>
          <w:r w:rsidRPr="00036C68">
            <w:rPr>
              <w:sz w:val="20"/>
              <w:szCs w:val="20"/>
              <w:vertAlign w:val="subscript"/>
            </w:rPr>
            <w:tab/>
          </w:r>
        </w:p>
        <w:p w:rsidR="00B05007" w:rsidRPr="00036C68" w:rsidRDefault="00B05007" w:rsidP="00B05007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36C68">
            <w:rPr>
              <w:sz w:val="20"/>
              <w:szCs w:val="20"/>
              <w:vertAlign w:val="subscript"/>
            </w:rPr>
            <w:t>Email. anabi@just.ro</w:t>
          </w:r>
          <w:r w:rsidR="00A64AF3" w:rsidRPr="00036C68">
            <w:rPr>
              <w:sz w:val="20"/>
              <w:szCs w:val="20"/>
              <w:vertAlign w:val="subscript"/>
            </w:rPr>
            <w:t>;</w:t>
          </w:r>
          <w:r w:rsidRPr="00036C68">
            <w:rPr>
              <w:sz w:val="20"/>
              <w:szCs w:val="20"/>
              <w:vertAlign w:val="subscript"/>
            </w:rPr>
            <w:t xml:space="preserve"> </w:t>
          </w:r>
          <w:r w:rsidR="00A64AF3" w:rsidRPr="00036C68">
            <w:rPr>
              <w:sz w:val="20"/>
              <w:szCs w:val="20"/>
              <w:vertAlign w:val="subscript"/>
            </w:rPr>
            <w:t>www.just.ro; anabi.just.ro;</w:t>
          </w:r>
          <w:r w:rsidRPr="00036C68">
            <w:rPr>
              <w:sz w:val="20"/>
              <w:szCs w:val="20"/>
              <w:vertAlign w:val="subscript"/>
            </w:rPr>
            <w:t xml:space="preserve">                             </w:t>
          </w:r>
        </w:p>
        <w:p w:rsidR="00967687" w:rsidRDefault="00967687" w:rsidP="00B05007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</w:pPr>
        </w:p>
      </w:tc>
      <w:tc>
        <w:tcPr>
          <w:tcW w:w="251" w:type="dxa"/>
          <w:vAlign w:val="center"/>
        </w:tcPr>
        <w:p w:rsidR="00967687" w:rsidRDefault="00967687" w:rsidP="00FF6990">
          <w:pPr>
            <w:ind w:left="0"/>
            <w:jc w:val="left"/>
          </w:pPr>
        </w:p>
      </w:tc>
      <w:tc>
        <w:tcPr>
          <w:tcW w:w="3799" w:type="dxa"/>
          <w:vAlign w:val="center"/>
        </w:tcPr>
        <w:p w:rsidR="00967687" w:rsidRDefault="00967687" w:rsidP="00FF6990">
          <w:pPr>
            <w:ind w:left="0"/>
            <w:jc w:val="right"/>
          </w:pPr>
          <w:r w:rsidRPr="00DA1F4F">
            <w:rPr>
              <w:sz w:val="20"/>
              <w:szCs w:val="20"/>
              <w:vertAlign w:val="subscript"/>
            </w:rPr>
            <w:t xml:space="preserve">Pag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AD1138">
            <w:rPr>
              <w:b/>
              <w:bCs/>
              <w:noProof/>
              <w:sz w:val="20"/>
              <w:szCs w:val="20"/>
              <w:vertAlign w:val="subscript"/>
            </w:rPr>
            <w:t>2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AD1138">
            <w:rPr>
              <w:b/>
              <w:bCs/>
              <w:noProof/>
              <w:sz w:val="20"/>
              <w:szCs w:val="20"/>
              <w:vertAlign w:val="subscript"/>
            </w:rPr>
            <w:t>4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:rsidR="00967687" w:rsidRDefault="009676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270"/>
      <w:gridCol w:w="3447"/>
    </w:tblGrid>
    <w:tr w:rsidR="00967687" w:rsidTr="002436FB">
      <w:trPr>
        <w:trHeight w:val="893"/>
      </w:trPr>
      <w:tc>
        <w:tcPr>
          <w:tcW w:w="5778" w:type="dxa"/>
          <w:vAlign w:val="center"/>
        </w:tcPr>
        <w:p w:rsidR="00036C68" w:rsidRPr="00036C68" w:rsidRDefault="00036C68" w:rsidP="00036C68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36C68">
            <w:rPr>
              <w:sz w:val="20"/>
              <w:szCs w:val="20"/>
              <w:vertAlign w:val="subscript"/>
            </w:rPr>
            <w:t>Bd. Regina Elisabeta nr. 3, etajele 3 și 5, sector 3, București.</w:t>
          </w:r>
          <w:r w:rsidRPr="00036C68">
            <w:rPr>
              <w:sz w:val="20"/>
              <w:szCs w:val="20"/>
              <w:vertAlign w:val="subscript"/>
            </w:rPr>
            <w:tab/>
          </w:r>
          <w:r w:rsidRPr="00036C68">
            <w:rPr>
              <w:sz w:val="20"/>
              <w:szCs w:val="20"/>
              <w:vertAlign w:val="subscript"/>
            </w:rPr>
            <w:tab/>
          </w:r>
        </w:p>
        <w:p w:rsidR="00036C68" w:rsidRPr="00036C68" w:rsidRDefault="00036C68" w:rsidP="00036C68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36C68">
            <w:rPr>
              <w:sz w:val="20"/>
              <w:szCs w:val="20"/>
              <w:vertAlign w:val="subscript"/>
            </w:rPr>
            <w:t xml:space="preserve">Tel. +4 037 257 30 00 ; Fax  +4 037 227 14 35; </w:t>
          </w:r>
          <w:r w:rsidRPr="00036C68">
            <w:rPr>
              <w:sz w:val="20"/>
              <w:szCs w:val="20"/>
              <w:vertAlign w:val="subscript"/>
            </w:rPr>
            <w:tab/>
          </w:r>
        </w:p>
        <w:p w:rsidR="00967687" w:rsidRPr="00876FD8" w:rsidRDefault="00036C68" w:rsidP="00036C68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36C68">
            <w:rPr>
              <w:sz w:val="20"/>
              <w:szCs w:val="20"/>
              <w:vertAlign w:val="subscript"/>
            </w:rPr>
            <w:t>Email. anabi@just.ro  www.just.ro; anabi.just.ro</w:t>
          </w:r>
        </w:p>
      </w:tc>
      <w:tc>
        <w:tcPr>
          <w:tcW w:w="270" w:type="dxa"/>
          <w:vAlign w:val="center"/>
        </w:tcPr>
        <w:p w:rsidR="00967687" w:rsidRDefault="00967687" w:rsidP="00FF6990">
          <w:pPr>
            <w:ind w:left="0"/>
            <w:jc w:val="left"/>
          </w:pPr>
        </w:p>
      </w:tc>
      <w:tc>
        <w:tcPr>
          <w:tcW w:w="3447" w:type="dxa"/>
          <w:vAlign w:val="center"/>
        </w:tcPr>
        <w:p w:rsidR="00967687" w:rsidRDefault="00967687" w:rsidP="00FF6990">
          <w:pPr>
            <w:ind w:left="0"/>
            <w:jc w:val="right"/>
          </w:pPr>
          <w:r w:rsidRPr="00DA1F4F">
            <w:rPr>
              <w:sz w:val="20"/>
              <w:szCs w:val="20"/>
              <w:vertAlign w:val="subscript"/>
            </w:rPr>
            <w:t xml:space="preserve">Pag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AD1138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AD1138">
            <w:rPr>
              <w:b/>
              <w:bCs/>
              <w:noProof/>
              <w:sz w:val="20"/>
              <w:szCs w:val="20"/>
              <w:vertAlign w:val="subscript"/>
            </w:rPr>
            <w:t>4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:rsidR="00967687" w:rsidRPr="004C32C3" w:rsidRDefault="00967687" w:rsidP="004C32C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7B" w:rsidRDefault="0016207B" w:rsidP="00CD5B3B">
      <w:r>
        <w:separator/>
      </w:r>
    </w:p>
  </w:footnote>
  <w:footnote w:type="continuationSeparator" w:id="0">
    <w:p w:rsidR="0016207B" w:rsidRDefault="0016207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87" w:rsidRDefault="00967687" w:rsidP="008A4458">
    <w:pPr>
      <w:pStyle w:val="Header"/>
      <w:ind w:left="0"/>
    </w:pPr>
  </w:p>
  <w:p w:rsidR="00967687" w:rsidRPr="00CD5B3B" w:rsidRDefault="00147BF6" w:rsidP="008A4458">
    <w:pPr>
      <w:pStyle w:val="Header"/>
      <w:ind w:left="0"/>
    </w:pPr>
    <w:r>
      <w:rPr>
        <w:noProof/>
        <w:lang w:eastAsia="ro-RO"/>
      </w:rPr>
      <w:drawing>
        <wp:inline distT="0" distB="0" distL="0" distR="0" wp14:anchorId="1930445F">
          <wp:extent cx="3322320" cy="707390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87" w:rsidRDefault="003707AD" w:rsidP="00671495">
    <w:pPr>
      <w:pStyle w:val="Header"/>
      <w:tabs>
        <w:tab w:val="clear" w:pos="8640"/>
        <w:tab w:val="left" w:pos="6776"/>
      </w:tabs>
      <w:ind w:left="-567"/>
      <w:jc w:val="left"/>
    </w:pPr>
    <w:r>
      <w:rPr>
        <w:noProof/>
        <w:lang w:eastAsia="ro-RO"/>
      </w:rPr>
      <w:drawing>
        <wp:inline distT="0" distB="0" distL="0" distR="0" wp14:anchorId="7E5C20CB" wp14:editId="2F630F79">
          <wp:extent cx="3601502" cy="1015365"/>
          <wp:effectExtent l="0" t="0" r="0" b="0"/>
          <wp:docPr id="62" name="Picture 62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587" cy="102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234DA" w:rsidRDefault="00D234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24F"/>
    <w:multiLevelType w:val="hybridMultilevel"/>
    <w:tmpl w:val="733C2FB0"/>
    <w:lvl w:ilvl="0" w:tplc="D1B46A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FF87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16E"/>
    <w:multiLevelType w:val="hybridMultilevel"/>
    <w:tmpl w:val="16A898B6"/>
    <w:lvl w:ilvl="0" w:tplc="04180017">
      <w:start w:val="1"/>
      <w:numFmt w:val="lowerLetter"/>
      <w:lvlText w:val="%1)"/>
      <w:lvlJc w:val="left"/>
      <w:pPr>
        <w:ind w:left="891" w:hanging="360"/>
      </w:pPr>
    </w:lvl>
    <w:lvl w:ilvl="1" w:tplc="04180019">
      <w:start w:val="1"/>
      <w:numFmt w:val="lowerLetter"/>
      <w:lvlText w:val="%2."/>
      <w:lvlJc w:val="left"/>
      <w:pPr>
        <w:ind w:left="1611" w:hanging="360"/>
      </w:pPr>
    </w:lvl>
    <w:lvl w:ilvl="2" w:tplc="0418001B" w:tentative="1">
      <w:start w:val="1"/>
      <w:numFmt w:val="lowerRoman"/>
      <w:lvlText w:val="%3."/>
      <w:lvlJc w:val="right"/>
      <w:pPr>
        <w:ind w:left="2331" w:hanging="180"/>
      </w:pPr>
    </w:lvl>
    <w:lvl w:ilvl="3" w:tplc="0418000F" w:tentative="1">
      <w:start w:val="1"/>
      <w:numFmt w:val="decimal"/>
      <w:lvlText w:val="%4."/>
      <w:lvlJc w:val="left"/>
      <w:pPr>
        <w:ind w:left="3051" w:hanging="360"/>
      </w:pPr>
    </w:lvl>
    <w:lvl w:ilvl="4" w:tplc="04180019" w:tentative="1">
      <w:start w:val="1"/>
      <w:numFmt w:val="lowerLetter"/>
      <w:lvlText w:val="%5."/>
      <w:lvlJc w:val="left"/>
      <w:pPr>
        <w:ind w:left="3771" w:hanging="360"/>
      </w:pPr>
    </w:lvl>
    <w:lvl w:ilvl="5" w:tplc="0418001B" w:tentative="1">
      <w:start w:val="1"/>
      <w:numFmt w:val="lowerRoman"/>
      <w:lvlText w:val="%6."/>
      <w:lvlJc w:val="right"/>
      <w:pPr>
        <w:ind w:left="4491" w:hanging="180"/>
      </w:pPr>
    </w:lvl>
    <w:lvl w:ilvl="6" w:tplc="0418000F" w:tentative="1">
      <w:start w:val="1"/>
      <w:numFmt w:val="decimal"/>
      <w:lvlText w:val="%7."/>
      <w:lvlJc w:val="left"/>
      <w:pPr>
        <w:ind w:left="5211" w:hanging="360"/>
      </w:pPr>
    </w:lvl>
    <w:lvl w:ilvl="7" w:tplc="04180019" w:tentative="1">
      <w:start w:val="1"/>
      <w:numFmt w:val="lowerLetter"/>
      <w:lvlText w:val="%8."/>
      <w:lvlJc w:val="left"/>
      <w:pPr>
        <w:ind w:left="5931" w:hanging="360"/>
      </w:pPr>
    </w:lvl>
    <w:lvl w:ilvl="8" w:tplc="0418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174D19F1"/>
    <w:multiLevelType w:val="hybridMultilevel"/>
    <w:tmpl w:val="F4D4F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E1F9C"/>
    <w:multiLevelType w:val="hybridMultilevel"/>
    <w:tmpl w:val="8AFC4804"/>
    <w:lvl w:ilvl="0" w:tplc="558E8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A1C4D77"/>
    <w:multiLevelType w:val="hybridMultilevel"/>
    <w:tmpl w:val="48BE18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79C"/>
    <w:multiLevelType w:val="hybridMultilevel"/>
    <w:tmpl w:val="F5042AA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CFC42834">
      <w:numFmt w:val="bullet"/>
      <w:lvlText w:val=""/>
      <w:lvlJc w:val="left"/>
      <w:pPr>
        <w:ind w:left="1710" w:hanging="360"/>
      </w:pPr>
      <w:rPr>
        <w:rFonts w:ascii="Symbol" w:eastAsia="MS Mincho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FCB62D8"/>
    <w:multiLevelType w:val="hybridMultilevel"/>
    <w:tmpl w:val="80CC91D8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4C55065"/>
    <w:multiLevelType w:val="hybridMultilevel"/>
    <w:tmpl w:val="D9004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73A9D"/>
    <w:multiLevelType w:val="hybridMultilevel"/>
    <w:tmpl w:val="0554BE58"/>
    <w:lvl w:ilvl="0" w:tplc="0418000F">
      <w:start w:val="1"/>
      <w:numFmt w:val="decimal"/>
      <w:lvlText w:val="%1."/>
      <w:lvlJc w:val="left"/>
      <w:pPr>
        <w:ind w:left="1128" w:hanging="360"/>
      </w:pPr>
    </w:lvl>
    <w:lvl w:ilvl="1" w:tplc="DA7A14E8">
      <w:numFmt w:val="bullet"/>
      <w:lvlText w:val="•"/>
      <w:lvlJc w:val="left"/>
      <w:pPr>
        <w:ind w:left="184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B285DEB"/>
    <w:multiLevelType w:val="hybridMultilevel"/>
    <w:tmpl w:val="B7F6EE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24348"/>
    <w:multiLevelType w:val="hybridMultilevel"/>
    <w:tmpl w:val="82C41938"/>
    <w:lvl w:ilvl="0" w:tplc="5A585B1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2" w:hanging="360"/>
      </w:pPr>
    </w:lvl>
    <w:lvl w:ilvl="2" w:tplc="0418001B" w:tentative="1">
      <w:start w:val="1"/>
      <w:numFmt w:val="lowerRoman"/>
      <w:lvlText w:val="%3."/>
      <w:lvlJc w:val="right"/>
      <w:pPr>
        <w:ind w:left="2212" w:hanging="180"/>
      </w:pPr>
    </w:lvl>
    <w:lvl w:ilvl="3" w:tplc="0418000F" w:tentative="1">
      <w:start w:val="1"/>
      <w:numFmt w:val="decimal"/>
      <w:lvlText w:val="%4."/>
      <w:lvlJc w:val="left"/>
      <w:pPr>
        <w:ind w:left="2932" w:hanging="360"/>
      </w:pPr>
    </w:lvl>
    <w:lvl w:ilvl="4" w:tplc="04180019" w:tentative="1">
      <w:start w:val="1"/>
      <w:numFmt w:val="lowerLetter"/>
      <w:lvlText w:val="%5."/>
      <w:lvlJc w:val="left"/>
      <w:pPr>
        <w:ind w:left="3652" w:hanging="360"/>
      </w:pPr>
    </w:lvl>
    <w:lvl w:ilvl="5" w:tplc="0418001B" w:tentative="1">
      <w:start w:val="1"/>
      <w:numFmt w:val="lowerRoman"/>
      <w:lvlText w:val="%6."/>
      <w:lvlJc w:val="right"/>
      <w:pPr>
        <w:ind w:left="4372" w:hanging="180"/>
      </w:pPr>
    </w:lvl>
    <w:lvl w:ilvl="6" w:tplc="0418000F" w:tentative="1">
      <w:start w:val="1"/>
      <w:numFmt w:val="decimal"/>
      <w:lvlText w:val="%7."/>
      <w:lvlJc w:val="left"/>
      <w:pPr>
        <w:ind w:left="5092" w:hanging="360"/>
      </w:pPr>
    </w:lvl>
    <w:lvl w:ilvl="7" w:tplc="04180019" w:tentative="1">
      <w:start w:val="1"/>
      <w:numFmt w:val="lowerLetter"/>
      <w:lvlText w:val="%8."/>
      <w:lvlJc w:val="left"/>
      <w:pPr>
        <w:ind w:left="5812" w:hanging="360"/>
      </w:pPr>
    </w:lvl>
    <w:lvl w:ilvl="8" w:tplc="0418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5FF61F90"/>
    <w:multiLevelType w:val="hybridMultilevel"/>
    <w:tmpl w:val="ED2C7624"/>
    <w:lvl w:ilvl="0" w:tplc="29F29F5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6B851419"/>
    <w:multiLevelType w:val="hybridMultilevel"/>
    <w:tmpl w:val="EB080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8404F"/>
    <w:multiLevelType w:val="hybridMultilevel"/>
    <w:tmpl w:val="E1A41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73"/>
        </w:tabs>
        <w:ind w:left="47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372D9D"/>
    <w:multiLevelType w:val="hybridMultilevel"/>
    <w:tmpl w:val="E08269CA"/>
    <w:lvl w:ilvl="0" w:tplc="D8304C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BE" w:vendorID="64" w:dllVersion="6" w:nlCheck="1" w:checkStyle="1"/>
  <w:activeWritingStyle w:appName="MSWord" w:lang="es-ES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669"/>
    <w:rsid w:val="00002069"/>
    <w:rsid w:val="0002194B"/>
    <w:rsid w:val="00023330"/>
    <w:rsid w:val="00024E06"/>
    <w:rsid w:val="00027EAE"/>
    <w:rsid w:val="00032B8F"/>
    <w:rsid w:val="00033A5B"/>
    <w:rsid w:val="00036C68"/>
    <w:rsid w:val="00036CF6"/>
    <w:rsid w:val="00036DEA"/>
    <w:rsid w:val="00037148"/>
    <w:rsid w:val="0003750D"/>
    <w:rsid w:val="00043849"/>
    <w:rsid w:val="00043E5C"/>
    <w:rsid w:val="00050DEA"/>
    <w:rsid w:val="00055AF8"/>
    <w:rsid w:val="00062821"/>
    <w:rsid w:val="00065490"/>
    <w:rsid w:val="00072AD5"/>
    <w:rsid w:val="00080532"/>
    <w:rsid w:val="00080D76"/>
    <w:rsid w:val="00092359"/>
    <w:rsid w:val="00097386"/>
    <w:rsid w:val="000A0A6D"/>
    <w:rsid w:val="000A1726"/>
    <w:rsid w:val="000A50B8"/>
    <w:rsid w:val="000A62E5"/>
    <w:rsid w:val="000B6E74"/>
    <w:rsid w:val="000C150F"/>
    <w:rsid w:val="000C19B6"/>
    <w:rsid w:val="000C3DA3"/>
    <w:rsid w:val="000D6A8E"/>
    <w:rsid w:val="000E0162"/>
    <w:rsid w:val="000E48C1"/>
    <w:rsid w:val="000E600D"/>
    <w:rsid w:val="00100F36"/>
    <w:rsid w:val="00105056"/>
    <w:rsid w:val="00111A63"/>
    <w:rsid w:val="0011272C"/>
    <w:rsid w:val="00113E95"/>
    <w:rsid w:val="0011416B"/>
    <w:rsid w:val="0012050C"/>
    <w:rsid w:val="00124437"/>
    <w:rsid w:val="0012496F"/>
    <w:rsid w:val="00125475"/>
    <w:rsid w:val="001261C1"/>
    <w:rsid w:val="00135B10"/>
    <w:rsid w:val="001374DB"/>
    <w:rsid w:val="0014721C"/>
    <w:rsid w:val="00147914"/>
    <w:rsid w:val="00147BF6"/>
    <w:rsid w:val="001525B4"/>
    <w:rsid w:val="00155EC8"/>
    <w:rsid w:val="00156DE4"/>
    <w:rsid w:val="0016197D"/>
    <w:rsid w:val="0016207B"/>
    <w:rsid w:val="00164635"/>
    <w:rsid w:val="001667D5"/>
    <w:rsid w:val="001748BB"/>
    <w:rsid w:val="00175E74"/>
    <w:rsid w:val="00175F6E"/>
    <w:rsid w:val="00182E0E"/>
    <w:rsid w:val="001860D6"/>
    <w:rsid w:val="001864C3"/>
    <w:rsid w:val="00192E6A"/>
    <w:rsid w:val="001A2A6C"/>
    <w:rsid w:val="001A6F49"/>
    <w:rsid w:val="001B1732"/>
    <w:rsid w:val="001B393B"/>
    <w:rsid w:val="001B3F3A"/>
    <w:rsid w:val="001C165F"/>
    <w:rsid w:val="001D5299"/>
    <w:rsid w:val="001E1BAB"/>
    <w:rsid w:val="001E776B"/>
    <w:rsid w:val="001F41B9"/>
    <w:rsid w:val="001F4F07"/>
    <w:rsid w:val="0020398B"/>
    <w:rsid w:val="00210936"/>
    <w:rsid w:val="0021458F"/>
    <w:rsid w:val="00216FDD"/>
    <w:rsid w:val="00224B17"/>
    <w:rsid w:val="00224B65"/>
    <w:rsid w:val="00230D4A"/>
    <w:rsid w:val="00234B38"/>
    <w:rsid w:val="00235636"/>
    <w:rsid w:val="002377F3"/>
    <w:rsid w:val="00241B43"/>
    <w:rsid w:val="002436FB"/>
    <w:rsid w:val="00247734"/>
    <w:rsid w:val="00250541"/>
    <w:rsid w:val="00250772"/>
    <w:rsid w:val="00252F93"/>
    <w:rsid w:val="00253A59"/>
    <w:rsid w:val="0025582D"/>
    <w:rsid w:val="00256D8F"/>
    <w:rsid w:val="0025711B"/>
    <w:rsid w:val="0025798E"/>
    <w:rsid w:val="00266C8D"/>
    <w:rsid w:val="00273A2C"/>
    <w:rsid w:val="002757DE"/>
    <w:rsid w:val="002805A5"/>
    <w:rsid w:val="00281F95"/>
    <w:rsid w:val="00286954"/>
    <w:rsid w:val="00292194"/>
    <w:rsid w:val="00293258"/>
    <w:rsid w:val="002933BB"/>
    <w:rsid w:val="002A3985"/>
    <w:rsid w:val="002A5742"/>
    <w:rsid w:val="002B2D08"/>
    <w:rsid w:val="002B72F6"/>
    <w:rsid w:val="002D4DC5"/>
    <w:rsid w:val="002E14D7"/>
    <w:rsid w:val="002E1973"/>
    <w:rsid w:val="002E41E5"/>
    <w:rsid w:val="002F28E3"/>
    <w:rsid w:val="002F2F18"/>
    <w:rsid w:val="002F3313"/>
    <w:rsid w:val="002F6326"/>
    <w:rsid w:val="002F7314"/>
    <w:rsid w:val="0030273C"/>
    <w:rsid w:val="0030285D"/>
    <w:rsid w:val="00304013"/>
    <w:rsid w:val="003051E8"/>
    <w:rsid w:val="00306AD9"/>
    <w:rsid w:val="00315701"/>
    <w:rsid w:val="00315E65"/>
    <w:rsid w:val="003172E5"/>
    <w:rsid w:val="003222DF"/>
    <w:rsid w:val="003253C5"/>
    <w:rsid w:val="003324F9"/>
    <w:rsid w:val="003338E1"/>
    <w:rsid w:val="00336015"/>
    <w:rsid w:val="0034024A"/>
    <w:rsid w:val="00342643"/>
    <w:rsid w:val="00342767"/>
    <w:rsid w:val="003465B8"/>
    <w:rsid w:val="00351624"/>
    <w:rsid w:val="00353912"/>
    <w:rsid w:val="0035644F"/>
    <w:rsid w:val="00356871"/>
    <w:rsid w:val="00356FBA"/>
    <w:rsid w:val="00364332"/>
    <w:rsid w:val="003707AD"/>
    <w:rsid w:val="00372DF4"/>
    <w:rsid w:val="003737EC"/>
    <w:rsid w:val="003743D6"/>
    <w:rsid w:val="0039689B"/>
    <w:rsid w:val="003A03AF"/>
    <w:rsid w:val="003A0B40"/>
    <w:rsid w:val="003A5D10"/>
    <w:rsid w:val="003A6D0C"/>
    <w:rsid w:val="003A7081"/>
    <w:rsid w:val="003A7967"/>
    <w:rsid w:val="003B19A9"/>
    <w:rsid w:val="003B6A84"/>
    <w:rsid w:val="003B7109"/>
    <w:rsid w:val="003C11E3"/>
    <w:rsid w:val="003D5AD7"/>
    <w:rsid w:val="003D7B29"/>
    <w:rsid w:val="003E1FA7"/>
    <w:rsid w:val="003E5F0E"/>
    <w:rsid w:val="003E7214"/>
    <w:rsid w:val="003F15EE"/>
    <w:rsid w:val="003F51F5"/>
    <w:rsid w:val="0040531F"/>
    <w:rsid w:val="00414172"/>
    <w:rsid w:val="00414C7E"/>
    <w:rsid w:val="00425214"/>
    <w:rsid w:val="00431E93"/>
    <w:rsid w:val="00433202"/>
    <w:rsid w:val="00433700"/>
    <w:rsid w:val="00434360"/>
    <w:rsid w:val="00435320"/>
    <w:rsid w:val="00444B49"/>
    <w:rsid w:val="00447889"/>
    <w:rsid w:val="004503F9"/>
    <w:rsid w:val="00450C1F"/>
    <w:rsid w:val="0045224A"/>
    <w:rsid w:val="00453038"/>
    <w:rsid w:val="00455985"/>
    <w:rsid w:val="0045741E"/>
    <w:rsid w:val="00457DA0"/>
    <w:rsid w:val="00460127"/>
    <w:rsid w:val="00471410"/>
    <w:rsid w:val="0047177D"/>
    <w:rsid w:val="00471FDD"/>
    <w:rsid w:val="00473C4F"/>
    <w:rsid w:val="00473E89"/>
    <w:rsid w:val="004810C7"/>
    <w:rsid w:val="00492B49"/>
    <w:rsid w:val="00493AD5"/>
    <w:rsid w:val="004A49AC"/>
    <w:rsid w:val="004A5EE3"/>
    <w:rsid w:val="004B4CDA"/>
    <w:rsid w:val="004C11CD"/>
    <w:rsid w:val="004C1308"/>
    <w:rsid w:val="004C32C3"/>
    <w:rsid w:val="004C6740"/>
    <w:rsid w:val="004C7D75"/>
    <w:rsid w:val="004D2AA6"/>
    <w:rsid w:val="004D3084"/>
    <w:rsid w:val="004D3310"/>
    <w:rsid w:val="004D6682"/>
    <w:rsid w:val="004D7DC5"/>
    <w:rsid w:val="004E09DF"/>
    <w:rsid w:val="004E46D9"/>
    <w:rsid w:val="004E765A"/>
    <w:rsid w:val="004E7720"/>
    <w:rsid w:val="004E78AB"/>
    <w:rsid w:val="004F6ECD"/>
    <w:rsid w:val="004F7289"/>
    <w:rsid w:val="00502E14"/>
    <w:rsid w:val="005055AA"/>
    <w:rsid w:val="0051210A"/>
    <w:rsid w:val="00513F9D"/>
    <w:rsid w:val="00515EF0"/>
    <w:rsid w:val="005176CD"/>
    <w:rsid w:val="00517BB7"/>
    <w:rsid w:val="00523B53"/>
    <w:rsid w:val="00527136"/>
    <w:rsid w:val="005303A3"/>
    <w:rsid w:val="00530C38"/>
    <w:rsid w:val="00547141"/>
    <w:rsid w:val="005513F9"/>
    <w:rsid w:val="00556569"/>
    <w:rsid w:val="005616CC"/>
    <w:rsid w:val="005634B4"/>
    <w:rsid w:val="00563578"/>
    <w:rsid w:val="0056389D"/>
    <w:rsid w:val="005714BE"/>
    <w:rsid w:val="00572E85"/>
    <w:rsid w:val="005810F7"/>
    <w:rsid w:val="00584982"/>
    <w:rsid w:val="00587C69"/>
    <w:rsid w:val="005901EA"/>
    <w:rsid w:val="00590312"/>
    <w:rsid w:val="005975E6"/>
    <w:rsid w:val="005A1038"/>
    <w:rsid w:val="005A228C"/>
    <w:rsid w:val="005A468C"/>
    <w:rsid w:val="005B24F2"/>
    <w:rsid w:val="005B3FED"/>
    <w:rsid w:val="005B6FBB"/>
    <w:rsid w:val="005D36C5"/>
    <w:rsid w:val="005D3FF9"/>
    <w:rsid w:val="005D5677"/>
    <w:rsid w:val="005E04AE"/>
    <w:rsid w:val="005E6FFA"/>
    <w:rsid w:val="005F1BB7"/>
    <w:rsid w:val="005F3D1C"/>
    <w:rsid w:val="0060143E"/>
    <w:rsid w:val="00602520"/>
    <w:rsid w:val="00604DD4"/>
    <w:rsid w:val="00604F27"/>
    <w:rsid w:val="0060558E"/>
    <w:rsid w:val="00605C44"/>
    <w:rsid w:val="00612187"/>
    <w:rsid w:val="006213C6"/>
    <w:rsid w:val="0062596C"/>
    <w:rsid w:val="00632158"/>
    <w:rsid w:val="00641EF6"/>
    <w:rsid w:val="00642B7C"/>
    <w:rsid w:val="00644768"/>
    <w:rsid w:val="00645D90"/>
    <w:rsid w:val="0065346E"/>
    <w:rsid w:val="00656CFA"/>
    <w:rsid w:val="006609AC"/>
    <w:rsid w:val="0066130A"/>
    <w:rsid w:val="006629C8"/>
    <w:rsid w:val="006645B9"/>
    <w:rsid w:val="0066555F"/>
    <w:rsid w:val="00666510"/>
    <w:rsid w:val="00671495"/>
    <w:rsid w:val="00677FEB"/>
    <w:rsid w:val="006821C6"/>
    <w:rsid w:val="006918AA"/>
    <w:rsid w:val="006927AD"/>
    <w:rsid w:val="00695D6D"/>
    <w:rsid w:val="0069624A"/>
    <w:rsid w:val="00696CDD"/>
    <w:rsid w:val="006A263E"/>
    <w:rsid w:val="006A61EF"/>
    <w:rsid w:val="006B00D9"/>
    <w:rsid w:val="006B02F2"/>
    <w:rsid w:val="006B2128"/>
    <w:rsid w:val="006B2190"/>
    <w:rsid w:val="006B528B"/>
    <w:rsid w:val="006C5BC2"/>
    <w:rsid w:val="006D057D"/>
    <w:rsid w:val="006D069F"/>
    <w:rsid w:val="006E00D6"/>
    <w:rsid w:val="006E4C1A"/>
    <w:rsid w:val="006F5C16"/>
    <w:rsid w:val="007009D5"/>
    <w:rsid w:val="00707C24"/>
    <w:rsid w:val="007209CF"/>
    <w:rsid w:val="00722BEC"/>
    <w:rsid w:val="00725F2C"/>
    <w:rsid w:val="00727B0F"/>
    <w:rsid w:val="007347CD"/>
    <w:rsid w:val="00737D2D"/>
    <w:rsid w:val="00740166"/>
    <w:rsid w:val="00744F78"/>
    <w:rsid w:val="007466D1"/>
    <w:rsid w:val="00747E45"/>
    <w:rsid w:val="007508DB"/>
    <w:rsid w:val="0075239F"/>
    <w:rsid w:val="00757F37"/>
    <w:rsid w:val="00760E8B"/>
    <w:rsid w:val="00763EB6"/>
    <w:rsid w:val="00766100"/>
    <w:rsid w:val="00766E0E"/>
    <w:rsid w:val="007710CF"/>
    <w:rsid w:val="00772B99"/>
    <w:rsid w:val="00772F9D"/>
    <w:rsid w:val="007778B4"/>
    <w:rsid w:val="007900CE"/>
    <w:rsid w:val="00792469"/>
    <w:rsid w:val="007B259F"/>
    <w:rsid w:val="007B4C1A"/>
    <w:rsid w:val="007B6204"/>
    <w:rsid w:val="007C0A8A"/>
    <w:rsid w:val="007C573F"/>
    <w:rsid w:val="007C71C1"/>
    <w:rsid w:val="007D034F"/>
    <w:rsid w:val="007D3F05"/>
    <w:rsid w:val="007D69E9"/>
    <w:rsid w:val="007E124E"/>
    <w:rsid w:val="007E2DCC"/>
    <w:rsid w:val="007F1E42"/>
    <w:rsid w:val="007F1E4C"/>
    <w:rsid w:val="007F46CF"/>
    <w:rsid w:val="007F5732"/>
    <w:rsid w:val="007F7927"/>
    <w:rsid w:val="00800312"/>
    <w:rsid w:val="00804F09"/>
    <w:rsid w:val="008109F8"/>
    <w:rsid w:val="008110CE"/>
    <w:rsid w:val="00815BAC"/>
    <w:rsid w:val="008214A6"/>
    <w:rsid w:val="00821512"/>
    <w:rsid w:val="00823696"/>
    <w:rsid w:val="00831A9B"/>
    <w:rsid w:val="0083730D"/>
    <w:rsid w:val="00845939"/>
    <w:rsid w:val="00850177"/>
    <w:rsid w:val="008501F6"/>
    <w:rsid w:val="008553F8"/>
    <w:rsid w:val="00856845"/>
    <w:rsid w:val="0085723B"/>
    <w:rsid w:val="00867EA4"/>
    <w:rsid w:val="00871DA8"/>
    <w:rsid w:val="00876FD8"/>
    <w:rsid w:val="00883F4D"/>
    <w:rsid w:val="008923D3"/>
    <w:rsid w:val="008A0E33"/>
    <w:rsid w:val="008A1236"/>
    <w:rsid w:val="008A2865"/>
    <w:rsid w:val="008A2AC0"/>
    <w:rsid w:val="008A4458"/>
    <w:rsid w:val="008A7B07"/>
    <w:rsid w:val="008B4C34"/>
    <w:rsid w:val="008B63B2"/>
    <w:rsid w:val="008B65B0"/>
    <w:rsid w:val="008C1C11"/>
    <w:rsid w:val="008C210C"/>
    <w:rsid w:val="008C48BA"/>
    <w:rsid w:val="008C60E4"/>
    <w:rsid w:val="008D6872"/>
    <w:rsid w:val="008E623C"/>
    <w:rsid w:val="008F0185"/>
    <w:rsid w:val="008F3C0A"/>
    <w:rsid w:val="00900DED"/>
    <w:rsid w:val="00901C06"/>
    <w:rsid w:val="009032D8"/>
    <w:rsid w:val="00910B23"/>
    <w:rsid w:val="00912C95"/>
    <w:rsid w:val="00913CD8"/>
    <w:rsid w:val="00915096"/>
    <w:rsid w:val="00915BA2"/>
    <w:rsid w:val="00930DE3"/>
    <w:rsid w:val="0093153C"/>
    <w:rsid w:val="009344EC"/>
    <w:rsid w:val="0093610F"/>
    <w:rsid w:val="0094082A"/>
    <w:rsid w:val="0094530E"/>
    <w:rsid w:val="00946C5B"/>
    <w:rsid w:val="00962D97"/>
    <w:rsid w:val="00964977"/>
    <w:rsid w:val="00966BBB"/>
    <w:rsid w:val="00967687"/>
    <w:rsid w:val="00970D37"/>
    <w:rsid w:val="00971B4F"/>
    <w:rsid w:val="00974421"/>
    <w:rsid w:val="009819A7"/>
    <w:rsid w:val="00983AD7"/>
    <w:rsid w:val="009867DF"/>
    <w:rsid w:val="00991309"/>
    <w:rsid w:val="00994618"/>
    <w:rsid w:val="0099668C"/>
    <w:rsid w:val="009A62F1"/>
    <w:rsid w:val="009A6F1B"/>
    <w:rsid w:val="009B28C3"/>
    <w:rsid w:val="009B34C1"/>
    <w:rsid w:val="009B4EB2"/>
    <w:rsid w:val="009C1480"/>
    <w:rsid w:val="009C39BF"/>
    <w:rsid w:val="009C709B"/>
    <w:rsid w:val="009D3BF0"/>
    <w:rsid w:val="009D40E9"/>
    <w:rsid w:val="009D4DCE"/>
    <w:rsid w:val="009D6FC1"/>
    <w:rsid w:val="009E3F9F"/>
    <w:rsid w:val="009E53A6"/>
    <w:rsid w:val="009E58BD"/>
    <w:rsid w:val="009E7609"/>
    <w:rsid w:val="009F6EA7"/>
    <w:rsid w:val="00A00B13"/>
    <w:rsid w:val="00A15B7E"/>
    <w:rsid w:val="00A17C12"/>
    <w:rsid w:val="00A255FA"/>
    <w:rsid w:val="00A25F62"/>
    <w:rsid w:val="00A31658"/>
    <w:rsid w:val="00A356F7"/>
    <w:rsid w:val="00A42933"/>
    <w:rsid w:val="00A44813"/>
    <w:rsid w:val="00A46115"/>
    <w:rsid w:val="00A60799"/>
    <w:rsid w:val="00A64AF3"/>
    <w:rsid w:val="00A74F07"/>
    <w:rsid w:val="00A7669D"/>
    <w:rsid w:val="00A802ED"/>
    <w:rsid w:val="00A86A26"/>
    <w:rsid w:val="00A937C3"/>
    <w:rsid w:val="00A93BDF"/>
    <w:rsid w:val="00AA12E9"/>
    <w:rsid w:val="00AA6DAD"/>
    <w:rsid w:val="00AB2FBA"/>
    <w:rsid w:val="00AB428C"/>
    <w:rsid w:val="00AB57EB"/>
    <w:rsid w:val="00AB5D3E"/>
    <w:rsid w:val="00AC420C"/>
    <w:rsid w:val="00AC4F54"/>
    <w:rsid w:val="00AD013F"/>
    <w:rsid w:val="00AD1138"/>
    <w:rsid w:val="00AD1DE8"/>
    <w:rsid w:val="00AE26B4"/>
    <w:rsid w:val="00AF3B6C"/>
    <w:rsid w:val="00AF488A"/>
    <w:rsid w:val="00B01C27"/>
    <w:rsid w:val="00B05007"/>
    <w:rsid w:val="00B06AB1"/>
    <w:rsid w:val="00B11E67"/>
    <w:rsid w:val="00B13BB4"/>
    <w:rsid w:val="00B14696"/>
    <w:rsid w:val="00B15D50"/>
    <w:rsid w:val="00B245A5"/>
    <w:rsid w:val="00B272CF"/>
    <w:rsid w:val="00B31C76"/>
    <w:rsid w:val="00B4681D"/>
    <w:rsid w:val="00B65A1C"/>
    <w:rsid w:val="00B706E2"/>
    <w:rsid w:val="00B71095"/>
    <w:rsid w:val="00B730C7"/>
    <w:rsid w:val="00B77D76"/>
    <w:rsid w:val="00B919F3"/>
    <w:rsid w:val="00B933AE"/>
    <w:rsid w:val="00BA13AE"/>
    <w:rsid w:val="00BA34D9"/>
    <w:rsid w:val="00BB3CED"/>
    <w:rsid w:val="00BB7FC5"/>
    <w:rsid w:val="00BC4234"/>
    <w:rsid w:val="00BD1439"/>
    <w:rsid w:val="00BD1680"/>
    <w:rsid w:val="00BD311E"/>
    <w:rsid w:val="00BD606F"/>
    <w:rsid w:val="00BF50C7"/>
    <w:rsid w:val="00BF72D9"/>
    <w:rsid w:val="00BF7630"/>
    <w:rsid w:val="00C05271"/>
    <w:rsid w:val="00C05F49"/>
    <w:rsid w:val="00C11788"/>
    <w:rsid w:val="00C20656"/>
    <w:rsid w:val="00C20EF1"/>
    <w:rsid w:val="00C2310A"/>
    <w:rsid w:val="00C23A49"/>
    <w:rsid w:val="00C24541"/>
    <w:rsid w:val="00C428BE"/>
    <w:rsid w:val="00C52DA8"/>
    <w:rsid w:val="00C64AFB"/>
    <w:rsid w:val="00C66BAD"/>
    <w:rsid w:val="00C67DE5"/>
    <w:rsid w:val="00C737BB"/>
    <w:rsid w:val="00C86BEC"/>
    <w:rsid w:val="00C954BD"/>
    <w:rsid w:val="00C974D3"/>
    <w:rsid w:val="00CA4192"/>
    <w:rsid w:val="00CA64EC"/>
    <w:rsid w:val="00CB2852"/>
    <w:rsid w:val="00CB5EAC"/>
    <w:rsid w:val="00CC7EA3"/>
    <w:rsid w:val="00CD0C6C"/>
    <w:rsid w:val="00CD0D36"/>
    <w:rsid w:val="00CD0F06"/>
    <w:rsid w:val="00CD160F"/>
    <w:rsid w:val="00CD581C"/>
    <w:rsid w:val="00CD5B3B"/>
    <w:rsid w:val="00CE1F2B"/>
    <w:rsid w:val="00CE6F35"/>
    <w:rsid w:val="00CF3BD3"/>
    <w:rsid w:val="00CF3D26"/>
    <w:rsid w:val="00D04149"/>
    <w:rsid w:val="00D06E9C"/>
    <w:rsid w:val="00D11136"/>
    <w:rsid w:val="00D11F18"/>
    <w:rsid w:val="00D1241F"/>
    <w:rsid w:val="00D234DA"/>
    <w:rsid w:val="00D2404B"/>
    <w:rsid w:val="00D40063"/>
    <w:rsid w:val="00D43B0D"/>
    <w:rsid w:val="00D6613C"/>
    <w:rsid w:val="00D72CBB"/>
    <w:rsid w:val="00D74B6C"/>
    <w:rsid w:val="00D75C57"/>
    <w:rsid w:val="00D84B90"/>
    <w:rsid w:val="00D853FC"/>
    <w:rsid w:val="00D86330"/>
    <w:rsid w:val="00D86F1D"/>
    <w:rsid w:val="00D97AE8"/>
    <w:rsid w:val="00DA52B7"/>
    <w:rsid w:val="00DA7A22"/>
    <w:rsid w:val="00DB0593"/>
    <w:rsid w:val="00DB230E"/>
    <w:rsid w:val="00DB36BE"/>
    <w:rsid w:val="00DC268D"/>
    <w:rsid w:val="00DD4761"/>
    <w:rsid w:val="00DD4CC8"/>
    <w:rsid w:val="00DD644C"/>
    <w:rsid w:val="00DE313F"/>
    <w:rsid w:val="00DE36AF"/>
    <w:rsid w:val="00DF00F5"/>
    <w:rsid w:val="00DF74F5"/>
    <w:rsid w:val="00E24324"/>
    <w:rsid w:val="00E32AFD"/>
    <w:rsid w:val="00E36C93"/>
    <w:rsid w:val="00E41F21"/>
    <w:rsid w:val="00E44041"/>
    <w:rsid w:val="00E51972"/>
    <w:rsid w:val="00E51F62"/>
    <w:rsid w:val="00E562FC"/>
    <w:rsid w:val="00E729B0"/>
    <w:rsid w:val="00E80D5E"/>
    <w:rsid w:val="00E83320"/>
    <w:rsid w:val="00E929EF"/>
    <w:rsid w:val="00EA06FD"/>
    <w:rsid w:val="00EA0F6C"/>
    <w:rsid w:val="00EA61E2"/>
    <w:rsid w:val="00EB450F"/>
    <w:rsid w:val="00EB6135"/>
    <w:rsid w:val="00EC58F9"/>
    <w:rsid w:val="00EC65D8"/>
    <w:rsid w:val="00EC6785"/>
    <w:rsid w:val="00EC6ADC"/>
    <w:rsid w:val="00ED33FE"/>
    <w:rsid w:val="00ED6823"/>
    <w:rsid w:val="00EE32F2"/>
    <w:rsid w:val="00EE56B1"/>
    <w:rsid w:val="00EE5A9D"/>
    <w:rsid w:val="00EF0A28"/>
    <w:rsid w:val="00EF0D00"/>
    <w:rsid w:val="00EF3F53"/>
    <w:rsid w:val="00EF4ACF"/>
    <w:rsid w:val="00EF685A"/>
    <w:rsid w:val="00EF74B2"/>
    <w:rsid w:val="00F021F8"/>
    <w:rsid w:val="00F02923"/>
    <w:rsid w:val="00F02E94"/>
    <w:rsid w:val="00F07E9D"/>
    <w:rsid w:val="00F1264C"/>
    <w:rsid w:val="00F16F71"/>
    <w:rsid w:val="00F17A86"/>
    <w:rsid w:val="00F33E18"/>
    <w:rsid w:val="00F44AD2"/>
    <w:rsid w:val="00F4619E"/>
    <w:rsid w:val="00F540A6"/>
    <w:rsid w:val="00F55A7A"/>
    <w:rsid w:val="00F56471"/>
    <w:rsid w:val="00F67D20"/>
    <w:rsid w:val="00F72342"/>
    <w:rsid w:val="00F76A8D"/>
    <w:rsid w:val="00F77604"/>
    <w:rsid w:val="00F9081D"/>
    <w:rsid w:val="00F9569A"/>
    <w:rsid w:val="00F9766A"/>
    <w:rsid w:val="00FA0313"/>
    <w:rsid w:val="00FA1588"/>
    <w:rsid w:val="00FA7C03"/>
    <w:rsid w:val="00FB1177"/>
    <w:rsid w:val="00FB6D27"/>
    <w:rsid w:val="00FC350D"/>
    <w:rsid w:val="00FC4284"/>
    <w:rsid w:val="00FD354D"/>
    <w:rsid w:val="00FE0319"/>
    <w:rsid w:val="00FE2F2C"/>
    <w:rsid w:val="00FE42BC"/>
    <w:rsid w:val="00FF0FE2"/>
    <w:rsid w:val="00FF4216"/>
    <w:rsid w:val="00FF57DA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67A20"/>
  <w15:docId w15:val="{993728B4-70F3-41B8-8195-0788A5A0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2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5B3B"/>
    <w:rPr>
      <w:sz w:val="24"/>
      <w:szCs w:val="24"/>
    </w:rPr>
  </w:style>
  <w:style w:type="table" w:styleId="TableGrid">
    <w:name w:val="Table Grid"/>
    <w:basedOn w:val="TableNormal"/>
    <w:uiPriority w:val="3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30"/>
    <w:rPr>
      <w:rFonts w:ascii="Trebuchet MS" w:hAnsi="Trebuchet MS"/>
    </w:rPr>
  </w:style>
  <w:style w:type="character" w:styleId="FootnoteReference">
    <w:name w:val="footnote reference"/>
    <w:aliases w:val="BVI fnr,fr,SUPERS,Footnote reference number,Footnote symbol,note TESI,-E Fußnotenzeichen,number,Footnote,Footnote Reference Superscript,(Footnote Reference),EN Footnote Reference,Voetnootverwijzing,Times 10 Point,Exposant 3 Poin"/>
    <w:basedOn w:val="DefaultParagraphFont"/>
    <w:uiPriority w:val="99"/>
    <w:unhideWhenUsed/>
    <w:rsid w:val="00D863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71C1"/>
    <w:pPr>
      <w:spacing w:after="0"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ro-RO"/>
    </w:rPr>
  </w:style>
  <w:style w:type="paragraph" w:customStyle="1" w:styleId="Default">
    <w:name w:val="Default"/>
    <w:rsid w:val="008C48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34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360"/>
    <w:rPr>
      <w:rFonts w:ascii="Trebuchet MS" w:hAnsi="Trebuchet MS"/>
    </w:rPr>
  </w:style>
  <w:style w:type="character" w:customStyle="1" w:styleId="apple-converted-space">
    <w:name w:val="apple-converted-space"/>
    <w:basedOn w:val="DefaultParagraphFont"/>
    <w:rsid w:val="00356FBA"/>
  </w:style>
  <w:style w:type="paragraph" w:customStyle="1" w:styleId="DefaultText1">
    <w:name w:val="Default Text:1"/>
    <w:basedOn w:val="Normal"/>
    <w:rsid w:val="00241B43"/>
    <w:pPr>
      <w:overflowPunct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andard">
    <w:name w:val="Standard"/>
    <w:rsid w:val="004530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styleId="Revision">
    <w:name w:val="Revision"/>
    <w:hidden/>
    <w:uiPriority w:val="71"/>
    <w:rsid w:val="00641EF6"/>
    <w:rPr>
      <w:rFonts w:ascii="Trebuchet MS" w:hAnsi="Trebuchet MS"/>
      <w:sz w:val="22"/>
      <w:szCs w:val="2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C0A8A"/>
    <w:rPr>
      <w:sz w:val="16"/>
      <w:szCs w:val="16"/>
    </w:rPr>
  </w:style>
  <w:style w:type="paragraph" w:customStyle="1" w:styleId="CaracterCaracter">
    <w:name w:val="Caracter Caracter"/>
    <w:basedOn w:val="Normal"/>
    <w:rsid w:val="000A62E5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64DF-D1B2-4B58-A04D-D8FA46E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Constantin Buzera</dc:creator>
  <cp:lastModifiedBy>Anca Colfescu</cp:lastModifiedBy>
  <cp:revision>4</cp:revision>
  <cp:lastPrinted>2020-08-24T10:01:00Z</cp:lastPrinted>
  <dcterms:created xsi:type="dcterms:W3CDTF">2021-10-07T11:15:00Z</dcterms:created>
  <dcterms:modified xsi:type="dcterms:W3CDTF">2021-11-01T11:54:00Z</dcterms:modified>
</cp:coreProperties>
</file>